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0A8" w:rsidRPr="005F50A8" w:rsidRDefault="005F50A8" w:rsidP="005F50A8">
      <w:pPr>
        <w:pStyle w:val="a3"/>
        <w:widowControl w:val="0"/>
        <w:suppressAutoHyphens/>
        <w:ind w:firstLine="567"/>
        <w:rPr>
          <w:sz w:val="26"/>
          <w:szCs w:val="26"/>
        </w:rPr>
      </w:pPr>
      <w:r w:rsidRPr="005F50A8">
        <w:rPr>
          <w:b/>
          <w:sz w:val="26"/>
          <w:szCs w:val="26"/>
          <w:u w:val="single"/>
        </w:rPr>
        <w:t>Анализ обстановки с пожарами</w:t>
      </w:r>
    </w:p>
    <w:p w:rsidR="005F50A8" w:rsidRDefault="005F50A8" w:rsidP="005F50A8">
      <w:pPr>
        <w:pStyle w:val="a3"/>
        <w:widowControl w:val="0"/>
        <w:suppressAutoHyphens/>
        <w:ind w:firstLine="567"/>
        <w:rPr>
          <w:sz w:val="26"/>
          <w:szCs w:val="26"/>
        </w:rPr>
      </w:pPr>
    </w:p>
    <w:p w:rsidR="005F50A8" w:rsidRPr="005F50A8" w:rsidRDefault="005F50A8" w:rsidP="005F50A8">
      <w:pPr>
        <w:pStyle w:val="a3"/>
        <w:widowControl w:val="0"/>
        <w:suppressAutoHyphens/>
        <w:ind w:firstLine="567"/>
        <w:rPr>
          <w:sz w:val="26"/>
          <w:szCs w:val="26"/>
        </w:rPr>
      </w:pPr>
      <w:r w:rsidRPr="005F50A8">
        <w:rPr>
          <w:sz w:val="26"/>
          <w:szCs w:val="26"/>
        </w:rPr>
        <w:t>В 2016 года в Тужинском районе зарегистрировано 9 пожаров, которыми нанесен материальный ущерб в размере 3 млн. 345,5 тыс. рублей (подтвержденный ущерб составил 1 млн. 260,9 тыс. рублей). Гибели людей не допущено. По сравнению с аналогичным периодом прошлого года (АППГ) зафиксировано снижение количества пожаров на 47% (с 17 до 9), а так же снижение материального ущерба на 30%.</w:t>
      </w:r>
    </w:p>
    <w:p w:rsidR="005F50A8" w:rsidRPr="005F50A8" w:rsidRDefault="005F50A8" w:rsidP="005F50A8">
      <w:pPr>
        <w:pStyle w:val="a3"/>
        <w:widowControl w:val="0"/>
        <w:suppressAutoHyphens/>
        <w:ind w:firstLine="567"/>
        <w:rPr>
          <w:sz w:val="26"/>
          <w:szCs w:val="26"/>
        </w:rPr>
      </w:pPr>
    </w:p>
    <w:p w:rsidR="005F50A8" w:rsidRPr="005F50A8" w:rsidRDefault="005F50A8" w:rsidP="005F50A8">
      <w:pPr>
        <w:pStyle w:val="a3"/>
        <w:widowControl w:val="0"/>
        <w:suppressAutoHyphens/>
        <w:ind w:firstLine="567"/>
        <w:rPr>
          <w:sz w:val="26"/>
          <w:szCs w:val="26"/>
        </w:rPr>
      </w:pPr>
    </w:p>
    <w:p w:rsidR="005F50A8" w:rsidRPr="005F50A8" w:rsidRDefault="005F50A8" w:rsidP="005F50A8">
      <w:pPr>
        <w:pStyle w:val="a3"/>
        <w:widowControl w:val="0"/>
        <w:suppressAutoHyphens/>
        <w:ind w:firstLine="567"/>
        <w:rPr>
          <w:sz w:val="26"/>
          <w:szCs w:val="26"/>
        </w:rPr>
      </w:pPr>
    </w:p>
    <w:p w:rsidR="005F50A8" w:rsidRPr="005F50A8" w:rsidRDefault="005F50A8" w:rsidP="005F50A8">
      <w:pPr>
        <w:pStyle w:val="a3"/>
        <w:widowControl w:val="0"/>
        <w:suppressAutoHyphens/>
        <w:ind w:firstLine="567"/>
        <w:rPr>
          <w:sz w:val="26"/>
          <w:szCs w:val="26"/>
        </w:rPr>
      </w:pPr>
      <w:r w:rsidRPr="005F50A8">
        <w:rPr>
          <w:noProof/>
          <w:sz w:val="26"/>
          <w:szCs w:val="26"/>
        </w:rPr>
        <w:drawing>
          <wp:inline distT="0" distB="0" distL="0" distR="0">
            <wp:extent cx="6098650" cy="3053301"/>
            <wp:effectExtent l="0" t="0" r="0" b="0"/>
            <wp:docPr id="3"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F50A8" w:rsidRPr="005F50A8" w:rsidRDefault="005F50A8" w:rsidP="005F50A8">
      <w:pPr>
        <w:pStyle w:val="a3"/>
        <w:widowControl w:val="0"/>
        <w:suppressAutoHyphens/>
        <w:ind w:firstLine="567"/>
        <w:rPr>
          <w:sz w:val="26"/>
          <w:szCs w:val="26"/>
        </w:rPr>
      </w:pPr>
    </w:p>
    <w:p w:rsidR="005F50A8" w:rsidRPr="005F50A8" w:rsidRDefault="005F50A8" w:rsidP="005F50A8">
      <w:pPr>
        <w:pStyle w:val="2"/>
        <w:widowControl w:val="0"/>
        <w:suppressAutoHyphens/>
        <w:rPr>
          <w:sz w:val="26"/>
          <w:szCs w:val="26"/>
        </w:rPr>
      </w:pPr>
      <w:r w:rsidRPr="005F50A8">
        <w:rPr>
          <w:sz w:val="26"/>
          <w:szCs w:val="26"/>
        </w:rPr>
        <w:t>Обстановка с пожарами в 2016 году характеризуется как стабильная.</w:t>
      </w:r>
    </w:p>
    <w:p w:rsidR="005F50A8" w:rsidRPr="005F50A8" w:rsidRDefault="005F50A8" w:rsidP="005F50A8">
      <w:pPr>
        <w:pStyle w:val="2"/>
        <w:widowControl w:val="0"/>
        <w:suppressAutoHyphens/>
        <w:rPr>
          <w:sz w:val="26"/>
          <w:szCs w:val="26"/>
        </w:rPr>
      </w:pPr>
      <w:r w:rsidRPr="005F50A8">
        <w:rPr>
          <w:sz w:val="26"/>
          <w:szCs w:val="26"/>
        </w:rPr>
        <w:t>Как видно из диаграммы, наряду со снижением количества пожаров наблюдается и снижение материального ущерба от них.</w:t>
      </w:r>
    </w:p>
    <w:p w:rsidR="005F50A8" w:rsidRPr="005F50A8" w:rsidRDefault="005F50A8" w:rsidP="005F50A8">
      <w:pPr>
        <w:pStyle w:val="2"/>
        <w:widowControl w:val="0"/>
        <w:suppressAutoHyphens/>
        <w:rPr>
          <w:b/>
          <w:sz w:val="26"/>
          <w:szCs w:val="26"/>
        </w:rPr>
      </w:pPr>
      <w:r w:rsidRPr="005F50A8">
        <w:rPr>
          <w:b/>
          <w:sz w:val="26"/>
          <w:szCs w:val="26"/>
        </w:rPr>
        <w:t>По причинам пожаров</w:t>
      </w:r>
    </w:p>
    <w:p w:rsidR="005F50A8" w:rsidRPr="005F50A8" w:rsidRDefault="005F50A8" w:rsidP="005F50A8">
      <w:pPr>
        <w:pStyle w:val="2"/>
        <w:widowControl w:val="0"/>
        <w:suppressAutoHyphens/>
        <w:rPr>
          <w:sz w:val="26"/>
          <w:szCs w:val="26"/>
        </w:rPr>
      </w:pPr>
      <w:r w:rsidRPr="005F50A8">
        <w:rPr>
          <w:sz w:val="26"/>
          <w:szCs w:val="26"/>
        </w:rPr>
        <w:t>5 пожаров произошло из-за аварийного режима работы электросетей и электрооборудования</w:t>
      </w:r>
    </w:p>
    <w:p w:rsidR="005F50A8" w:rsidRPr="005F50A8" w:rsidRDefault="005F50A8" w:rsidP="005F50A8">
      <w:pPr>
        <w:pStyle w:val="2"/>
        <w:widowControl w:val="0"/>
        <w:suppressAutoHyphens/>
        <w:rPr>
          <w:sz w:val="26"/>
          <w:szCs w:val="26"/>
        </w:rPr>
      </w:pPr>
      <w:r w:rsidRPr="005F50A8">
        <w:rPr>
          <w:sz w:val="26"/>
          <w:szCs w:val="26"/>
        </w:rPr>
        <w:t xml:space="preserve">2 пожара – по причинам связанным с печным отоплением (эксплуатация с трещинами и прогарами, несоблюдение требуемого расстояния от горючих поверхностей строительных конструкций)  </w:t>
      </w:r>
    </w:p>
    <w:p w:rsidR="005F50A8" w:rsidRPr="005F50A8" w:rsidRDefault="005F50A8" w:rsidP="005F50A8">
      <w:pPr>
        <w:pStyle w:val="2"/>
        <w:widowControl w:val="0"/>
        <w:suppressAutoHyphens/>
        <w:rPr>
          <w:sz w:val="26"/>
          <w:szCs w:val="26"/>
        </w:rPr>
      </w:pPr>
      <w:r w:rsidRPr="005F50A8">
        <w:rPr>
          <w:sz w:val="26"/>
          <w:szCs w:val="26"/>
        </w:rPr>
        <w:t>1 пожар – из-за неосторожного обращения с огнем при курении в состоянии алкогольного опьянения</w:t>
      </w:r>
    </w:p>
    <w:p w:rsidR="005F50A8" w:rsidRPr="005F50A8" w:rsidRDefault="005F50A8" w:rsidP="005F50A8">
      <w:pPr>
        <w:pStyle w:val="2"/>
        <w:widowControl w:val="0"/>
        <w:suppressAutoHyphens/>
        <w:rPr>
          <w:sz w:val="26"/>
          <w:szCs w:val="26"/>
        </w:rPr>
      </w:pPr>
      <w:r w:rsidRPr="005F50A8">
        <w:rPr>
          <w:sz w:val="26"/>
          <w:szCs w:val="26"/>
        </w:rPr>
        <w:t xml:space="preserve">1 пожар – по причине, связанной </w:t>
      </w:r>
      <w:proofErr w:type="gramStart"/>
      <w:r w:rsidRPr="005F50A8">
        <w:rPr>
          <w:sz w:val="26"/>
          <w:szCs w:val="26"/>
        </w:rPr>
        <w:t>со</w:t>
      </w:r>
      <w:proofErr w:type="gramEnd"/>
      <w:r w:rsidRPr="005F50A8">
        <w:rPr>
          <w:sz w:val="26"/>
          <w:szCs w:val="26"/>
        </w:rPr>
        <w:t xml:space="preserve"> вторичным проявлением разряда молнии.</w:t>
      </w:r>
    </w:p>
    <w:p w:rsidR="005F50A8" w:rsidRPr="005F50A8" w:rsidRDefault="005F50A8" w:rsidP="005F50A8">
      <w:pPr>
        <w:pStyle w:val="2"/>
        <w:widowControl w:val="0"/>
        <w:suppressAutoHyphens/>
        <w:rPr>
          <w:b/>
          <w:sz w:val="26"/>
          <w:szCs w:val="26"/>
        </w:rPr>
      </w:pPr>
      <w:r w:rsidRPr="005F50A8">
        <w:rPr>
          <w:b/>
          <w:sz w:val="26"/>
          <w:szCs w:val="26"/>
        </w:rPr>
        <w:t>По местам возникновения</w:t>
      </w:r>
    </w:p>
    <w:p w:rsidR="005F50A8" w:rsidRPr="005F50A8" w:rsidRDefault="005F50A8" w:rsidP="005F50A8">
      <w:pPr>
        <w:pStyle w:val="2"/>
        <w:widowControl w:val="0"/>
        <w:suppressAutoHyphens/>
        <w:rPr>
          <w:sz w:val="26"/>
          <w:szCs w:val="26"/>
        </w:rPr>
      </w:pPr>
      <w:r w:rsidRPr="005F50A8">
        <w:rPr>
          <w:sz w:val="26"/>
          <w:szCs w:val="26"/>
        </w:rPr>
        <w:t>8 пожаров произошло в жилом секторе</w:t>
      </w:r>
    </w:p>
    <w:p w:rsidR="005F50A8" w:rsidRPr="005F50A8" w:rsidRDefault="005F50A8" w:rsidP="005F50A8">
      <w:pPr>
        <w:pStyle w:val="2"/>
        <w:widowControl w:val="0"/>
        <w:suppressAutoHyphens/>
        <w:rPr>
          <w:sz w:val="26"/>
          <w:szCs w:val="26"/>
        </w:rPr>
      </w:pPr>
      <w:proofErr w:type="gramStart"/>
      <w:r w:rsidRPr="005F50A8">
        <w:rPr>
          <w:sz w:val="26"/>
          <w:szCs w:val="26"/>
        </w:rPr>
        <w:t>1 пожар на производстве (котельная машинного двора колхоза «Новый» с.Ныр.</w:t>
      </w:r>
      <w:proofErr w:type="gramEnd"/>
    </w:p>
    <w:p w:rsidR="005F50A8" w:rsidRPr="005F50A8" w:rsidRDefault="005F50A8" w:rsidP="005F50A8">
      <w:pPr>
        <w:pStyle w:val="2"/>
        <w:widowControl w:val="0"/>
        <w:suppressAutoHyphens/>
        <w:rPr>
          <w:sz w:val="26"/>
          <w:szCs w:val="26"/>
        </w:rPr>
      </w:pPr>
      <w:r w:rsidRPr="005F50A8">
        <w:rPr>
          <w:sz w:val="26"/>
          <w:szCs w:val="26"/>
        </w:rPr>
        <w:t>Пожаров на социально значимых объектах, а так же лесных пожаров не зарегистрировано.</w:t>
      </w:r>
    </w:p>
    <w:p w:rsidR="005F50A8" w:rsidRPr="005F50A8" w:rsidRDefault="005F50A8" w:rsidP="005F50A8">
      <w:pPr>
        <w:pStyle w:val="2"/>
        <w:widowControl w:val="0"/>
        <w:suppressAutoHyphens/>
        <w:rPr>
          <w:b/>
          <w:sz w:val="26"/>
          <w:szCs w:val="26"/>
        </w:rPr>
      </w:pPr>
      <w:r w:rsidRPr="005F50A8">
        <w:rPr>
          <w:b/>
          <w:sz w:val="26"/>
          <w:szCs w:val="26"/>
        </w:rPr>
        <w:t>В 2016 году произошли следующие пожары:</w:t>
      </w:r>
    </w:p>
    <w:p w:rsidR="005F50A8" w:rsidRPr="005F50A8" w:rsidRDefault="005F50A8" w:rsidP="005F50A8">
      <w:pPr>
        <w:pStyle w:val="a3"/>
        <w:widowControl w:val="0"/>
        <w:numPr>
          <w:ilvl w:val="0"/>
          <w:numId w:val="1"/>
        </w:numPr>
        <w:suppressAutoHyphens/>
        <w:ind w:left="0" w:firstLine="567"/>
        <w:rPr>
          <w:sz w:val="26"/>
          <w:szCs w:val="26"/>
        </w:rPr>
      </w:pPr>
      <w:r w:rsidRPr="005F50A8">
        <w:rPr>
          <w:sz w:val="26"/>
          <w:szCs w:val="26"/>
        </w:rPr>
        <w:t>5 января</w:t>
      </w:r>
      <w:r w:rsidRPr="005F50A8">
        <w:rPr>
          <w:snapToGrid w:val="0"/>
          <w:sz w:val="26"/>
          <w:szCs w:val="26"/>
        </w:rPr>
        <w:t xml:space="preserve"> пожар в квартире двухквартирного жилого дома в д.Кошканур Тужинского района. Погибших и травмированных нет. В результате пожара обгорела деревянная дощаная перегородка внутри квартиры, прогорело чердачное перекрытие в </w:t>
      </w:r>
      <w:r w:rsidRPr="005F50A8">
        <w:rPr>
          <w:snapToGrid w:val="0"/>
          <w:sz w:val="26"/>
          <w:szCs w:val="26"/>
        </w:rPr>
        <w:lastRenderedPageBreak/>
        <w:t xml:space="preserve">месте расположения отопительной печи, стены и потолок закопчены по всей квартире, материальный ущерб составил 900 рублей. Причина – </w:t>
      </w:r>
      <w:r w:rsidRPr="005F50A8">
        <w:rPr>
          <w:sz w:val="26"/>
          <w:szCs w:val="26"/>
        </w:rPr>
        <w:t>эксплуатации неисправной отопительной печи (с трещинами и прогарами в дымоходах)</w:t>
      </w:r>
      <w:r w:rsidRPr="005F50A8">
        <w:rPr>
          <w:snapToGrid w:val="0"/>
          <w:sz w:val="26"/>
          <w:szCs w:val="26"/>
        </w:rPr>
        <w:t>.</w:t>
      </w:r>
    </w:p>
    <w:p w:rsidR="005F50A8" w:rsidRPr="005F50A8" w:rsidRDefault="005F50A8" w:rsidP="005F50A8">
      <w:pPr>
        <w:pStyle w:val="a3"/>
        <w:widowControl w:val="0"/>
        <w:numPr>
          <w:ilvl w:val="0"/>
          <w:numId w:val="1"/>
        </w:numPr>
        <w:suppressAutoHyphens/>
        <w:ind w:left="0" w:firstLine="567"/>
        <w:rPr>
          <w:snapToGrid w:val="0"/>
          <w:sz w:val="26"/>
          <w:szCs w:val="26"/>
        </w:rPr>
      </w:pPr>
      <w:r w:rsidRPr="005F50A8">
        <w:rPr>
          <w:snapToGrid w:val="0"/>
          <w:sz w:val="26"/>
          <w:szCs w:val="26"/>
        </w:rPr>
        <w:t xml:space="preserve">7 марта пожар в котельной машинного двора колхоза «Новый» с.Ныр Тужинского района. Погибших и пострадавших нет, в результате пожара огнем были уничтожены входные двери котельной, </w:t>
      </w:r>
      <w:proofErr w:type="gramStart"/>
      <w:r w:rsidRPr="005F50A8">
        <w:rPr>
          <w:snapToGrid w:val="0"/>
          <w:sz w:val="26"/>
          <w:szCs w:val="26"/>
        </w:rPr>
        <w:t>стены</w:t>
      </w:r>
      <w:proofErr w:type="gramEnd"/>
      <w:r w:rsidRPr="005F50A8">
        <w:rPr>
          <w:snapToGrid w:val="0"/>
          <w:sz w:val="26"/>
          <w:szCs w:val="26"/>
        </w:rPr>
        <w:t xml:space="preserve"> и потолок были закопчены по всей площади. Ввиду отсутствия остаточной стоимости материальный ущерб не причинен. Наиболее вероятной причиной пожара послужил аварийный режим работы электропроводки, проходящей над дверью внутри котельной.</w:t>
      </w:r>
    </w:p>
    <w:p w:rsidR="005F50A8" w:rsidRPr="005F50A8" w:rsidRDefault="005F50A8" w:rsidP="005F50A8">
      <w:pPr>
        <w:pStyle w:val="a3"/>
        <w:widowControl w:val="0"/>
        <w:numPr>
          <w:ilvl w:val="0"/>
          <w:numId w:val="1"/>
        </w:numPr>
        <w:suppressAutoHyphens/>
        <w:ind w:left="0" w:firstLine="567"/>
        <w:rPr>
          <w:snapToGrid w:val="0"/>
          <w:sz w:val="26"/>
          <w:szCs w:val="26"/>
        </w:rPr>
      </w:pPr>
      <w:r w:rsidRPr="005F50A8">
        <w:rPr>
          <w:snapToGrid w:val="0"/>
          <w:sz w:val="26"/>
          <w:szCs w:val="26"/>
        </w:rPr>
        <w:t>4 июня пожар одноквартирного жилого дома по ул</w:t>
      </w:r>
      <w:proofErr w:type="gramStart"/>
      <w:r w:rsidRPr="005F50A8">
        <w:rPr>
          <w:snapToGrid w:val="0"/>
          <w:sz w:val="26"/>
          <w:szCs w:val="26"/>
        </w:rPr>
        <w:t>.Н</w:t>
      </w:r>
      <w:proofErr w:type="gramEnd"/>
      <w:r w:rsidRPr="005F50A8">
        <w:rPr>
          <w:snapToGrid w:val="0"/>
          <w:sz w:val="26"/>
          <w:szCs w:val="26"/>
        </w:rPr>
        <w:t xml:space="preserve">овая пгт.Тужа по причине неосторожного обращения с огнем при курении в состоянии алкогольного опьянения хозяином дома. Погибших и травмированных нет. В результате пожара дом и имущество в нем </w:t>
      </w:r>
      <w:proofErr w:type="gramStart"/>
      <w:r w:rsidRPr="005F50A8">
        <w:rPr>
          <w:snapToGrid w:val="0"/>
          <w:sz w:val="26"/>
          <w:szCs w:val="26"/>
        </w:rPr>
        <w:t>уничтожены</w:t>
      </w:r>
      <w:proofErr w:type="gramEnd"/>
      <w:r w:rsidRPr="005F50A8">
        <w:rPr>
          <w:snapToGrid w:val="0"/>
          <w:sz w:val="26"/>
          <w:szCs w:val="26"/>
        </w:rPr>
        <w:t>. Ущерб от пожара ориентировочно составил 75,6 тыс. рублей.</w:t>
      </w:r>
    </w:p>
    <w:p w:rsidR="005F50A8" w:rsidRPr="005F50A8" w:rsidRDefault="005F50A8" w:rsidP="005F50A8">
      <w:pPr>
        <w:pStyle w:val="a3"/>
        <w:widowControl w:val="0"/>
        <w:numPr>
          <w:ilvl w:val="0"/>
          <w:numId w:val="1"/>
        </w:numPr>
        <w:suppressAutoHyphens/>
        <w:ind w:left="0" w:firstLine="567"/>
        <w:rPr>
          <w:snapToGrid w:val="0"/>
          <w:sz w:val="26"/>
          <w:szCs w:val="26"/>
        </w:rPr>
      </w:pPr>
      <w:r w:rsidRPr="005F50A8">
        <w:rPr>
          <w:snapToGrid w:val="0"/>
          <w:sz w:val="26"/>
          <w:szCs w:val="26"/>
        </w:rPr>
        <w:t>18 июня пожар в одной из квартир двухквартирного жилого дома по ул</w:t>
      </w:r>
      <w:proofErr w:type="gramStart"/>
      <w:r w:rsidRPr="005F50A8">
        <w:rPr>
          <w:snapToGrid w:val="0"/>
          <w:sz w:val="26"/>
          <w:szCs w:val="26"/>
        </w:rPr>
        <w:t>.Л</w:t>
      </w:r>
      <w:proofErr w:type="gramEnd"/>
      <w:r w:rsidRPr="005F50A8">
        <w:rPr>
          <w:snapToGrid w:val="0"/>
          <w:sz w:val="26"/>
          <w:szCs w:val="26"/>
        </w:rPr>
        <w:t>ермонтова пгт.Тужа. В результате пожара никто не пострадал, обгорела внутренняя отделка ванной комнаты, душевая кабина, стиральная машинка, водонагреватель. Ориентировочно ущерб от пожара составил 56 тыс. руб. Наиболее вероятной причиной пожара послужил занос потенциала молнии, ударившей рядом с домом, по кабелю заземления электрооборудования в ванной комнате.</w:t>
      </w:r>
    </w:p>
    <w:p w:rsidR="005F50A8" w:rsidRPr="005F50A8" w:rsidRDefault="005F50A8" w:rsidP="005F50A8">
      <w:pPr>
        <w:pStyle w:val="a3"/>
        <w:widowControl w:val="0"/>
        <w:numPr>
          <w:ilvl w:val="0"/>
          <w:numId w:val="1"/>
        </w:numPr>
        <w:suppressAutoHyphens/>
        <w:ind w:left="0" w:firstLine="567"/>
        <w:rPr>
          <w:snapToGrid w:val="0"/>
          <w:sz w:val="26"/>
          <w:szCs w:val="26"/>
        </w:rPr>
      </w:pPr>
      <w:r w:rsidRPr="005F50A8">
        <w:rPr>
          <w:snapToGrid w:val="0"/>
          <w:sz w:val="26"/>
          <w:szCs w:val="26"/>
        </w:rPr>
        <w:t>21 июня пожар наружной обшивки жилого двухквартирного дома по ул</w:t>
      </w:r>
      <w:proofErr w:type="gramStart"/>
      <w:r w:rsidRPr="005F50A8">
        <w:rPr>
          <w:snapToGrid w:val="0"/>
          <w:sz w:val="26"/>
          <w:szCs w:val="26"/>
        </w:rPr>
        <w:t>.Т</w:t>
      </w:r>
      <w:proofErr w:type="gramEnd"/>
      <w:r w:rsidRPr="005F50A8">
        <w:rPr>
          <w:snapToGrid w:val="0"/>
          <w:sz w:val="26"/>
          <w:szCs w:val="26"/>
        </w:rPr>
        <w:t>руда пгт.Тужа в результате аварийного режима работы в месте соединения вводного силового кабеля (соединения электропроводов из меди и алюминия между собой были выполнены скрутками) и были расположены под наружной деревянной обшивкой дома. Ущерб составил около 2 тыс. рублей.</w:t>
      </w:r>
    </w:p>
    <w:p w:rsidR="005F50A8" w:rsidRPr="005F50A8" w:rsidRDefault="005F50A8" w:rsidP="005F50A8">
      <w:pPr>
        <w:pStyle w:val="a3"/>
        <w:widowControl w:val="0"/>
        <w:numPr>
          <w:ilvl w:val="0"/>
          <w:numId w:val="1"/>
        </w:numPr>
        <w:suppressAutoHyphens/>
        <w:ind w:left="0" w:firstLine="567"/>
        <w:rPr>
          <w:snapToGrid w:val="0"/>
          <w:sz w:val="26"/>
          <w:szCs w:val="26"/>
        </w:rPr>
      </w:pPr>
      <w:r w:rsidRPr="005F50A8">
        <w:rPr>
          <w:snapToGrid w:val="0"/>
          <w:sz w:val="26"/>
          <w:szCs w:val="26"/>
        </w:rPr>
        <w:t>10 августа пожар одноквартирного жилого дома в по ул</w:t>
      </w:r>
      <w:proofErr w:type="gramStart"/>
      <w:r w:rsidRPr="005F50A8">
        <w:rPr>
          <w:snapToGrid w:val="0"/>
          <w:sz w:val="26"/>
          <w:szCs w:val="26"/>
        </w:rPr>
        <w:t>.С</w:t>
      </w:r>
      <w:proofErr w:type="gramEnd"/>
      <w:r w:rsidRPr="005F50A8">
        <w:rPr>
          <w:snapToGrid w:val="0"/>
          <w:sz w:val="26"/>
          <w:szCs w:val="26"/>
        </w:rPr>
        <w:t>оветская с.Ныр Тужинского района. В результате пожара никто не пострадал, огнем была уничтожена крыша дома, выгорела одна из комнат, другие комнаты сильно закопчены, имущество из них не выносилось, поэтому было залито водой при тушении. Ущерб ориентировочно составил 680 тыс. рублей. Наиболее вероятной причиной пожара послужил аварийный режим работы оставленного в сети бытового электроприбора.</w:t>
      </w:r>
    </w:p>
    <w:p w:rsidR="005F50A8" w:rsidRPr="005F50A8" w:rsidRDefault="005F50A8" w:rsidP="005F50A8">
      <w:pPr>
        <w:pStyle w:val="a3"/>
        <w:widowControl w:val="0"/>
        <w:numPr>
          <w:ilvl w:val="0"/>
          <w:numId w:val="1"/>
        </w:numPr>
        <w:suppressAutoHyphens/>
        <w:ind w:left="0" w:firstLine="567"/>
        <w:rPr>
          <w:snapToGrid w:val="0"/>
          <w:sz w:val="26"/>
          <w:szCs w:val="26"/>
        </w:rPr>
      </w:pPr>
      <w:r w:rsidRPr="005F50A8">
        <w:rPr>
          <w:snapToGrid w:val="0"/>
          <w:sz w:val="26"/>
          <w:szCs w:val="26"/>
        </w:rPr>
        <w:t>12 августа произошел пожар двухквартирного жилого дома по ул</w:t>
      </w:r>
      <w:proofErr w:type="gramStart"/>
      <w:r w:rsidRPr="005F50A8">
        <w:rPr>
          <w:snapToGrid w:val="0"/>
          <w:sz w:val="26"/>
          <w:szCs w:val="26"/>
        </w:rPr>
        <w:t>.Х</w:t>
      </w:r>
      <w:proofErr w:type="gramEnd"/>
      <w:r w:rsidRPr="005F50A8">
        <w:rPr>
          <w:snapToGrid w:val="0"/>
          <w:sz w:val="26"/>
          <w:szCs w:val="26"/>
        </w:rPr>
        <w:t>имиков пгт.Тужа. В результате пожара дом и хозяйственные постройки, а так же все имущество одной из квартир были уничтожены. Ущерб от пожара ориентировочно составил 2,3 млн. рублей. Причина пожара в настоящее время устанавливается.</w:t>
      </w:r>
    </w:p>
    <w:p w:rsidR="005F50A8" w:rsidRPr="005F50A8" w:rsidRDefault="005F50A8" w:rsidP="005F50A8">
      <w:pPr>
        <w:pStyle w:val="a3"/>
        <w:widowControl w:val="0"/>
        <w:numPr>
          <w:ilvl w:val="0"/>
          <w:numId w:val="1"/>
        </w:numPr>
        <w:suppressAutoHyphens/>
        <w:ind w:left="0" w:firstLine="567"/>
        <w:rPr>
          <w:snapToGrid w:val="0"/>
          <w:sz w:val="26"/>
          <w:szCs w:val="26"/>
        </w:rPr>
      </w:pPr>
      <w:r w:rsidRPr="005F50A8">
        <w:rPr>
          <w:snapToGrid w:val="0"/>
          <w:sz w:val="26"/>
          <w:szCs w:val="26"/>
        </w:rPr>
        <w:t xml:space="preserve">3 октября произошел пожар гаража </w:t>
      </w:r>
      <w:proofErr w:type="gramStart"/>
      <w:r w:rsidRPr="005F50A8">
        <w:rPr>
          <w:snapToGrid w:val="0"/>
          <w:sz w:val="26"/>
          <w:szCs w:val="26"/>
        </w:rPr>
        <w:t>для</w:t>
      </w:r>
      <w:proofErr w:type="gramEnd"/>
      <w:r w:rsidRPr="005F50A8">
        <w:rPr>
          <w:snapToGrid w:val="0"/>
          <w:sz w:val="26"/>
          <w:szCs w:val="26"/>
        </w:rPr>
        <w:t xml:space="preserve"> </w:t>
      </w:r>
      <w:proofErr w:type="gramStart"/>
      <w:r w:rsidRPr="005F50A8">
        <w:rPr>
          <w:snapToGrid w:val="0"/>
          <w:sz w:val="26"/>
          <w:szCs w:val="26"/>
        </w:rPr>
        <w:t>сельхоз</w:t>
      </w:r>
      <w:proofErr w:type="gramEnd"/>
      <w:r w:rsidRPr="005F50A8">
        <w:rPr>
          <w:snapToGrid w:val="0"/>
          <w:sz w:val="26"/>
          <w:szCs w:val="26"/>
        </w:rPr>
        <w:t xml:space="preserve"> техники в д.Коврижата Тужинского района. В результате пожара никто не пострадал, строение и имущество, находящееся в нем, были уничтожены. Собственнику причинен материальный ущерб на сумму 229 тыс. рублей. Распространения горения на другие объекты допущено не было. Наиболее вероятной причиной пожара послужил аварийный режим работы электропроводки или электрооборудования (воздушного компрессора).</w:t>
      </w:r>
    </w:p>
    <w:p w:rsidR="00BB1CF0" w:rsidRPr="005F50A8" w:rsidRDefault="005F50A8" w:rsidP="005F50A8">
      <w:pPr>
        <w:spacing w:after="0" w:line="240" w:lineRule="auto"/>
        <w:ind w:firstLine="567"/>
        <w:jc w:val="both"/>
        <w:rPr>
          <w:rFonts w:ascii="Times New Roman" w:hAnsi="Times New Roman" w:cs="Times New Roman"/>
          <w:sz w:val="26"/>
          <w:szCs w:val="26"/>
        </w:rPr>
      </w:pPr>
      <w:r>
        <w:rPr>
          <w:rFonts w:ascii="Times New Roman" w:hAnsi="Times New Roman" w:cs="Times New Roman"/>
          <w:snapToGrid w:val="0"/>
          <w:sz w:val="26"/>
          <w:szCs w:val="26"/>
        </w:rPr>
        <w:t xml:space="preserve">- </w:t>
      </w:r>
      <w:r w:rsidRPr="005F50A8">
        <w:rPr>
          <w:rFonts w:ascii="Times New Roman" w:hAnsi="Times New Roman" w:cs="Times New Roman"/>
          <w:snapToGrid w:val="0"/>
          <w:sz w:val="26"/>
          <w:szCs w:val="26"/>
        </w:rPr>
        <w:t xml:space="preserve">3 декабря произошел пожар бани по ул.Колхозной пгт.Тужа. В результате пожара повреждена стена бани изнутри и потолочное перекрытие в месте пересечения трубы отопительной печи. В результате пожара никто не </w:t>
      </w:r>
      <w:proofErr w:type="gramStart"/>
      <w:r w:rsidRPr="005F50A8">
        <w:rPr>
          <w:rFonts w:ascii="Times New Roman" w:hAnsi="Times New Roman" w:cs="Times New Roman"/>
          <w:snapToGrid w:val="0"/>
          <w:sz w:val="26"/>
          <w:szCs w:val="26"/>
        </w:rPr>
        <w:t>пострадал ущерб составил</w:t>
      </w:r>
      <w:proofErr w:type="gramEnd"/>
      <w:r w:rsidRPr="005F50A8">
        <w:rPr>
          <w:rFonts w:ascii="Times New Roman" w:hAnsi="Times New Roman" w:cs="Times New Roman"/>
          <w:snapToGrid w:val="0"/>
          <w:sz w:val="26"/>
          <w:szCs w:val="26"/>
        </w:rPr>
        <w:t xml:space="preserve"> 2 тыс. рублей. Причиной пожара послужило </w:t>
      </w:r>
      <w:r w:rsidRPr="005F50A8">
        <w:rPr>
          <w:rFonts w:ascii="Times New Roman" w:hAnsi="Times New Roman" w:cs="Times New Roman"/>
          <w:sz w:val="26"/>
          <w:szCs w:val="26"/>
        </w:rPr>
        <w:t xml:space="preserve">несоблюдение требуемого расстояния от поверхности </w:t>
      </w:r>
      <w:proofErr w:type="spellStart"/>
      <w:r w:rsidRPr="005F50A8">
        <w:rPr>
          <w:rFonts w:ascii="Times New Roman" w:hAnsi="Times New Roman" w:cs="Times New Roman"/>
          <w:sz w:val="26"/>
          <w:szCs w:val="26"/>
        </w:rPr>
        <w:t>нетеплоемкой</w:t>
      </w:r>
      <w:proofErr w:type="spellEnd"/>
      <w:r w:rsidRPr="005F50A8">
        <w:rPr>
          <w:rFonts w:ascii="Times New Roman" w:hAnsi="Times New Roman" w:cs="Times New Roman"/>
          <w:sz w:val="26"/>
          <w:szCs w:val="26"/>
        </w:rPr>
        <w:t xml:space="preserve"> (металлической) печи до горючих поверхностей строительных конструкций.</w:t>
      </w:r>
    </w:p>
    <w:sectPr w:rsidR="00BB1CF0" w:rsidRPr="005F50A8" w:rsidSect="005F50A8">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96507"/>
    <w:multiLevelType w:val="hybridMultilevel"/>
    <w:tmpl w:val="C928BD1A"/>
    <w:lvl w:ilvl="0" w:tplc="195EB212">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F50A8"/>
    <w:rsid w:val="005F50A8"/>
    <w:rsid w:val="00BB1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F50A8"/>
    <w:pPr>
      <w:spacing w:after="0" w:line="240" w:lineRule="auto"/>
      <w:ind w:firstLine="567"/>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5F50A8"/>
    <w:rPr>
      <w:rFonts w:ascii="Times New Roman" w:eastAsia="Times New Roman" w:hAnsi="Times New Roman" w:cs="Times New Roman"/>
      <w:sz w:val="24"/>
      <w:szCs w:val="20"/>
    </w:rPr>
  </w:style>
  <w:style w:type="paragraph" w:styleId="a3">
    <w:name w:val="Body Text"/>
    <w:aliases w:val=" Знак"/>
    <w:basedOn w:val="a"/>
    <w:link w:val="a4"/>
    <w:rsid w:val="005F50A8"/>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aliases w:val=" Знак Знак"/>
    <w:basedOn w:val="a0"/>
    <w:link w:val="a3"/>
    <w:rsid w:val="005F50A8"/>
    <w:rPr>
      <w:rFonts w:ascii="Times New Roman" w:eastAsia="Times New Roman" w:hAnsi="Times New Roman" w:cs="Times New Roman"/>
      <w:sz w:val="24"/>
      <w:szCs w:val="20"/>
    </w:rPr>
  </w:style>
  <w:style w:type="paragraph" w:styleId="a5">
    <w:name w:val="Balloon Text"/>
    <w:basedOn w:val="a"/>
    <w:link w:val="a6"/>
    <w:uiPriority w:val="99"/>
    <w:semiHidden/>
    <w:unhideWhenUsed/>
    <w:rsid w:val="005F50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50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1.6975308641975627E-2"/>
          <c:y val="7.2625698324022422E-2"/>
          <c:w val="0.9583333333333337"/>
          <c:h val="0.5977653631284946"/>
        </c:manualLayout>
      </c:layout>
      <c:barChart>
        <c:barDir val="col"/>
        <c:grouping val="clustered"/>
        <c:ser>
          <c:idx val="1"/>
          <c:order val="0"/>
          <c:tx>
            <c:strRef>
              <c:f>Sheet1!$B$1:$B$2</c:f>
              <c:strCache>
                <c:ptCount val="1"/>
                <c:pt idx="0">
                  <c:v>количество пожаров</c:v>
                </c:pt>
              </c:strCache>
            </c:strRef>
          </c:tx>
          <c:spPr>
            <a:gradFill rotWithShape="0">
              <a:gsLst>
                <a:gs pos="0">
                  <a:srgbClr val="FF0000"/>
                </a:gs>
                <a:gs pos="100000">
                  <a:srgbClr val="FF0000">
                    <a:gamma/>
                    <a:shade val="46275"/>
                    <a:invGamma/>
                  </a:srgbClr>
                </a:gs>
              </a:gsLst>
              <a:lin ang="5400000" scaled="1"/>
            </a:gradFill>
            <a:ln w="12672">
              <a:solidFill>
                <a:srgbClr val="000000"/>
              </a:solidFill>
              <a:prstDash val="solid"/>
            </a:ln>
          </c:spPr>
          <c:dLbls>
            <c:dLbl>
              <c:idx val="0"/>
              <c:layout>
                <c:manualLayout>
                  <c:x val="3.3023701966828804E-4"/>
                  <c:y val="3.5656028249336181E-3"/>
                </c:manualLayout>
              </c:layout>
              <c:dLblPos val="outEnd"/>
              <c:showVal val="1"/>
            </c:dLbl>
            <c:dLbl>
              <c:idx val="1"/>
              <c:layout>
                <c:manualLayout>
                  <c:x val="4.7274396792732817E-3"/>
                  <c:y val="-3.9967989675247922E-3"/>
                </c:manualLayout>
              </c:layout>
              <c:dLblPos val="outEnd"/>
              <c:showVal val="1"/>
            </c:dLbl>
            <c:dLbl>
              <c:idx val="2"/>
              <c:layout>
                <c:manualLayout>
                  <c:x val="-2.8304624794011778E-3"/>
                  <c:y val="4.6881351440576906E-3"/>
                </c:manualLayout>
              </c:layout>
              <c:dLblPos val="outEnd"/>
              <c:showVal val="1"/>
            </c:dLbl>
            <c:dLbl>
              <c:idx val="3"/>
              <c:layout>
                <c:manualLayout>
                  <c:x val="-5.3292122027005983E-3"/>
                  <c:y val="4.3587492018005514E-3"/>
                </c:manualLayout>
              </c:layout>
              <c:dLblPos val="outEnd"/>
              <c:showVal val="1"/>
            </c:dLbl>
            <c:dLbl>
              <c:idx val="4"/>
              <c:layout>
                <c:manualLayout>
                  <c:x val="3.8572470956687141E-3"/>
                  <c:y val="5.0643088622036384E-3"/>
                </c:manualLayout>
              </c:layout>
              <c:dLblPos val="outEnd"/>
              <c:showVal val="1"/>
            </c:dLbl>
            <c:dLbl>
              <c:idx val="5"/>
              <c:layout>
                <c:manualLayout>
                  <c:x val="2.62817820038105E-3"/>
                  <c:y val="-7.838382705642459E-2"/>
                </c:manualLayout>
              </c:layout>
              <c:dLblPos val="outEnd"/>
              <c:showVal val="1"/>
            </c:dLbl>
            <c:spPr>
              <a:solidFill>
                <a:srgbClr val="FFFFFF"/>
              </a:solidFill>
              <a:ln w="25344">
                <a:noFill/>
              </a:ln>
            </c:spPr>
            <c:txPr>
              <a:bodyPr/>
              <a:lstStyle/>
              <a:p>
                <a:pPr>
                  <a:defRPr sz="1098" b="1" i="0" u="none" strike="noStrike" baseline="0">
                    <a:solidFill>
                      <a:srgbClr val="000000"/>
                    </a:solidFill>
                    <a:latin typeface="Arial"/>
                    <a:ea typeface="Arial"/>
                    <a:cs typeface="Arial"/>
                  </a:defRPr>
                </a:pPr>
                <a:endParaRPr lang="ru-RU"/>
              </a:p>
            </c:txPr>
            <c:showVal val="1"/>
          </c:dLbls>
          <c:cat>
            <c:numRef>
              <c:f>Sheet1!$A$3:$A$7</c:f>
              <c:numCache>
                <c:formatCode>General</c:formatCode>
                <c:ptCount val="5"/>
                <c:pt idx="0">
                  <c:v>2012</c:v>
                </c:pt>
                <c:pt idx="1">
                  <c:v>2013</c:v>
                </c:pt>
                <c:pt idx="2">
                  <c:v>2014</c:v>
                </c:pt>
                <c:pt idx="3">
                  <c:v>2015</c:v>
                </c:pt>
                <c:pt idx="4">
                  <c:v>2016</c:v>
                </c:pt>
              </c:numCache>
            </c:numRef>
          </c:cat>
          <c:val>
            <c:numRef>
              <c:f>Sheet1!$B$3:$B$7</c:f>
              <c:numCache>
                <c:formatCode>General</c:formatCode>
                <c:ptCount val="5"/>
                <c:pt idx="0">
                  <c:v>10</c:v>
                </c:pt>
                <c:pt idx="1">
                  <c:v>12</c:v>
                </c:pt>
                <c:pt idx="2">
                  <c:v>9</c:v>
                </c:pt>
                <c:pt idx="3">
                  <c:v>17</c:v>
                </c:pt>
                <c:pt idx="4">
                  <c:v>9</c:v>
                </c:pt>
              </c:numCache>
            </c:numRef>
          </c:val>
        </c:ser>
        <c:gapWidth val="50"/>
        <c:axId val="60330368"/>
        <c:axId val="60331904"/>
      </c:barChart>
      <c:lineChart>
        <c:grouping val="standard"/>
        <c:ser>
          <c:idx val="0"/>
          <c:order val="1"/>
          <c:tx>
            <c:strRef>
              <c:f>Sheet1!$C$1:$C$2</c:f>
              <c:strCache>
                <c:ptCount val="1"/>
                <c:pt idx="0">
                  <c:v>ущерб, тыс. руб</c:v>
                </c:pt>
              </c:strCache>
            </c:strRef>
          </c:tx>
          <c:spPr>
            <a:ln w="38017">
              <a:solidFill>
                <a:srgbClr val="000080"/>
              </a:solidFill>
              <a:prstDash val="solid"/>
            </a:ln>
          </c:spPr>
          <c:marker>
            <c:symbol val="circle"/>
            <c:size val="8"/>
            <c:spPr>
              <a:solidFill>
                <a:srgbClr val="000080"/>
              </a:solidFill>
              <a:ln>
                <a:solidFill>
                  <a:srgbClr val="000080"/>
                </a:solidFill>
                <a:prstDash val="solid"/>
              </a:ln>
            </c:spPr>
          </c:marker>
          <c:dLbls>
            <c:dLbl>
              <c:idx val="0"/>
              <c:layout>
                <c:manualLayout>
                  <c:x val="-4.6829708214112857E-2"/>
                  <c:y val="5.9764459107109737E-2"/>
                </c:manualLayout>
              </c:layout>
              <c:dLblPos val="r"/>
              <c:showVal val="1"/>
            </c:dLbl>
            <c:dLbl>
              <c:idx val="1"/>
              <c:layout>
                <c:manualLayout>
                  <c:x val="-4.3595713805514393E-2"/>
                  <c:y val="7.7349551099363006E-2"/>
                </c:manualLayout>
              </c:layout>
              <c:dLblPos val="r"/>
              <c:showVal val="1"/>
            </c:dLbl>
            <c:dLbl>
              <c:idx val="2"/>
              <c:layout>
                <c:manualLayout>
                  <c:x val="-4.1501479835701488E-2"/>
                  <c:y val="7.9472967520300475E-2"/>
                </c:manualLayout>
              </c:layout>
              <c:dLblPos val="r"/>
              <c:showVal val="1"/>
            </c:dLbl>
            <c:dLbl>
              <c:idx val="3"/>
              <c:layout>
                <c:manualLayout>
                  <c:x val="-4.4510342452837921E-2"/>
                  <c:y val="7.8164407004242514E-2"/>
                </c:manualLayout>
              </c:layout>
              <c:dLblPos val="r"/>
              <c:showVal val="1"/>
            </c:dLbl>
            <c:dLbl>
              <c:idx val="4"/>
              <c:layout>
                <c:manualLayout>
                  <c:x val="-4.5525977060496998E-2"/>
                  <c:y val="7.6222901455960723E-2"/>
                </c:manualLayout>
              </c:layout>
              <c:numFmt formatCode="0" sourceLinked="0"/>
              <c:spPr>
                <a:solidFill>
                  <a:srgbClr val="FFFFFF"/>
                </a:solidFill>
                <a:ln w="3168">
                  <a:solidFill>
                    <a:srgbClr val="000000"/>
                  </a:solidFill>
                  <a:prstDash val="solid"/>
                </a:ln>
              </c:spPr>
              <c:txPr>
                <a:bodyPr/>
                <a:lstStyle/>
                <a:p>
                  <a:pPr>
                    <a:defRPr sz="1197" b="1" i="0" u="none" strike="noStrike" baseline="0">
                      <a:solidFill>
                        <a:srgbClr val="000000"/>
                      </a:solidFill>
                      <a:latin typeface="Arial"/>
                      <a:ea typeface="Arial"/>
                      <a:cs typeface="Arial"/>
                    </a:defRPr>
                  </a:pPr>
                  <a:endParaRPr lang="ru-RU"/>
                </a:p>
              </c:txPr>
              <c:dLblPos val="r"/>
              <c:showVal val="1"/>
            </c:dLbl>
            <c:dLbl>
              <c:idx val="5"/>
              <c:layout>
                <c:manualLayout>
                  <c:x val="-5.320949403050129E-3"/>
                  <c:y val="-0.15051613737771113"/>
                </c:manualLayout>
              </c:layout>
              <c:dLblPos val="r"/>
              <c:showVal val="1"/>
            </c:dLbl>
            <c:dLbl>
              <c:idx val="6"/>
              <c:tx>
                <c:rich>
                  <a:bodyPr/>
                  <a:lstStyle/>
                  <a:p>
                    <a:pPr>
                      <a:defRPr sz="1098" b="1" i="0" u="none" strike="noStrike" baseline="0">
                        <a:solidFill>
                          <a:srgbClr val="000000"/>
                        </a:solidFill>
                        <a:latin typeface="Arial"/>
                        <a:ea typeface="Arial"/>
                        <a:cs typeface="Arial"/>
                      </a:defRPr>
                    </a:pPr>
                    <a:r>
                      <a:t>2</a:t>
                    </a:r>
                  </a:p>
                </c:rich>
              </c:tx>
              <c:spPr>
                <a:solidFill>
                  <a:srgbClr val="FFFFFF"/>
                </a:solidFill>
                <a:ln w="3168">
                  <a:solidFill>
                    <a:srgbClr val="000000"/>
                  </a:solidFill>
                  <a:prstDash val="solid"/>
                </a:ln>
              </c:spPr>
              <c:dLblPos val="r"/>
            </c:dLbl>
            <c:numFmt formatCode="0" sourceLinked="0"/>
            <c:spPr>
              <a:solidFill>
                <a:srgbClr val="FFFFFF"/>
              </a:solidFill>
              <a:ln w="3168">
                <a:solidFill>
                  <a:srgbClr val="000000"/>
                </a:solidFill>
                <a:prstDash val="solid"/>
              </a:ln>
            </c:spPr>
            <c:txPr>
              <a:bodyPr/>
              <a:lstStyle/>
              <a:p>
                <a:pPr>
                  <a:defRPr sz="1098" b="1" i="0" u="none" strike="noStrike" baseline="0">
                    <a:solidFill>
                      <a:srgbClr val="000000"/>
                    </a:solidFill>
                    <a:latin typeface="Arial"/>
                    <a:ea typeface="Arial"/>
                    <a:cs typeface="Arial"/>
                  </a:defRPr>
                </a:pPr>
                <a:endParaRPr lang="ru-RU"/>
              </a:p>
            </c:txPr>
            <c:showVal val="1"/>
          </c:dLbls>
          <c:cat>
            <c:numRef>
              <c:f>Sheet1!$A$3:$A$7</c:f>
              <c:numCache>
                <c:formatCode>General</c:formatCode>
                <c:ptCount val="5"/>
                <c:pt idx="0">
                  <c:v>2012</c:v>
                </c:pt>
                <c:pt idx="1">
                  <c:v>2013</c:v>
                </c:pt>
                <c:pt idx="2">
                  <c:v>2014</c:v>
                </c:pt>
                <c:pt idx="3">
                  <c:v>2015</c:v>
                </c:pt>
                <c:pt idx="4">
                  <c:v>2016</c:v>
                </c:pt>
              </c:numCache>
            </c:numRef>
          </c:cat>
          <c:val>
            <c:numRef>
              <c:f>Sheet1!$C$3:$C$7</c:f>
              <c:numCache>
                <c:formatCode>General</c:formatCode>
                <c:ptCount val="5"/>
                <c:pt idx="0">
                  <c:v>2175</c:v>
                </c:pt>
                <c:pt idx="1">
                  <c:v>3127</c:v>
                </c:pt>
                <c:pt idx="2">
                  <c:v>7468</c:v>
                </c:pt>
                <c:pt idx="3">
                  <c:v>4777</c:v>
                </c:pt>
                <c:pt idx="4">
                  <c:v>3345</c:v>
                </c:pt>
              </c:numCache>
            </c:numRef>
          </c:val>
        </c:ser>
        <c:marker val="1"/>
        <c:axId val="75711232"/>
        <c:axId val="75712768"/>
      </c:lineChart>
      <c:catAx>
        <c:axId val="60330368"/>
        <c:scaling>
          <c:orientation val="minMax"/>
        </c:scaling>
        <c:axPos val="b"/>
        <c:numFmt formatCode="General" sourceLinked="1"/>
        <c:tickLblPos val="nextTo"/>
        <c:spPr>
          <a:ln w="3168">
            <a:solidFill>
              <a:srgbClr val="000000"/>
            </a:solidFill>
            <a:prstDash val="solid"/>
          </a:ln>
        </c:spPr>
        <c:txPr>
          <a:bodyPr rot="0" vert="horz"/>
          <a:lstStyle/>
          <a:p>
            <a:pPr>
              <a:defRPr sz="998" b="1" i="0" u="none" strike="noStrike" baseline="0">
                <a:solidFill>
                  <a:srgbClr val="000000"/>
                </a:solidFill>
                <a:latin typeface="Courier"/>
                <a:ea typeface="Courier"/>
                <a:cs typeface="Courier"/>
              </a:defRPr>
            </a:pPr>
            <a:endParaRPr lang="ru-RU"/>
          </a:p>
        </c:txPr>
        <c:crossAx val="60331904"/>
        <c:crosses val="autoZero"/>
        <c:lblAlgn val="ctr"/>
        <c:lblOffset val="100"/>
        <c:tickLblSkip val="1"/>
        <c:tickMarkSkip val="1"/>
      </c:catAx>
      <c:valAx>
        <c:axId val="60331904"/>
        <c:scaling>
          <c:orientation val="minMax"/>
        </c:scaling>
        <c:axPos val="l"/>
        <c:numFmt formatCode="General" sourceLinked="1"/>
        <c:majorTickMark val="none"/>
        <c:tickLblPos val="none"/>
        <c:spPr>
          <a:ln w="9504">
            <a:noFill/>
          </a:ln>
        </c:spPr>
        <c:crossAx val="60330368"/>
        <c:crosses val="autoZero"/>
        <c:crossBetween val="between"/>
      </c:valAx>
      <c:catAx>
        <c:axId val="75711232"/>
        <c:scaling>
          <c:orientation val="minMax"/>
        </c:scaling>
        <c:delete val="1"/>
        <c:axPos val="b"/>
        <c:numFmt formatCode="General" sourceLinked="1"/>
        <c:tickLblPos val="none"/>
        <c:crossAx val="75712768"/>
        <c:crosses val="autoZero"/>
        <c:lblAlgn val="ctr"/>
        <c:lblOffset val="100"/>
      </c:catAx>
      <c:valAx>
        <c:axId val="75712768"/>
        <c:scaling>
          <c:orientation val="minMax"/>
        </c:scaling>
        <c:axPos val="r"/>
        <c:numFmt formatCode="General" sourceLinked="1"/>
        <c:majorTickMark val="none"/>
        <c:tickLblPos val="none"/>
        <c:spPr>
          <a:ln w="9504">
            <a:noFill/>
          </a:ln>
        </c:spPr>
        <c:crossAx val="75711232"/>
        <c:crosses val="max"/>
        <c:crossBetween val="between"/>
      </c:valAx>
    </c:plotArea>
    <c:legend>
      <c:legendPos val="b"/>
      <c:layout>
        <c:manualLayout>
          <c:xMode val="edge"/>
          <c:yMode val="edge"/>
          <c:x val="0.16008542874242696"/>
          <c:y val="0.80353034306149307"/>
          <c:w val="0.68672839506173089"/>
          <c:h val="0.13407821229050268"/>
        </c:manualLayout>
      </c:layout>
      <c:spPr>
        <a:solidFill>
          <a:srgbClr val="FFFFFF"/>
        </a:solidFill>
        <a:ln w="3168">
          <a:solidFill>
            <a:srgbClr val="000000"/>
          </a:solidFill>
          <a:prstDash val="solid"/>
        </a:ln>
      </c:spPr>
      <c:txPr>
        <a:bodyPr/>
        <a:lstStyle/>
        <a:p>
          <a:pPr>
            <a:defRPr sz="823"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998" b="0" i="0" u="none" strike="noStrike" baseline="0">
          <a:solidFill>
            <a:srgbClr val="000000"/>
          </a:solidFill>
          <a:latin typeface="Arial"/>
          <a:ea typeface="Arial"/>
          <a:cs typeface="Arial"/>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0.4635</cdr:x>
      <cdr:y>0.469</cdr:y>
    </cdr:from>
    <cdr:to>
      <cdr:x>0.47125</cdr:x>
      <cdr:y>0.55275</cdr:y>
    </cdr:to>
    <cdr:sp macro="" textlink="">
      <cdr:nvSpPr>
        <cdr:cNvPr id="1025" name="Text Box 1"/>
        <cdr:cNvSpPr txBox="1">
          <a:spLocks xmlns:a="http://schemas.openxmlformats.org/drawingml/2006/main" noChangeArrowheads="1"/>
        </cdr:cNvSpPr>
      </cdr:nvSpPr>
      <cdr:spPr bwMode="auto">
        <a:xfrm xmlns:a="http://schemas.openxmlformats.org/drawingml/2006/main">
          <a:off x="2860815" y="799633"/>
          <a:ext cx="47834" cy="142792"/>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900" b="1" i="0" strike="noStrike">
              <a:solidFill>
                <a:srgbClr val="000000"/>
              </a:solidFill>
              <a:latin typeface="Times New Roman"/>
              <a:cs typeface="Times New Roman"/>
            </a:rPr>
            <a:t> </a:t>
          </a:r>
        </a:p>
      </cdr:txBody>
    </cdr:sp>
  </cdr:relSizeAnchor>
  <cdr:relSizeAnchor xmlns:cdr="http://schemas.openxmlformats.org/drawingml/2006/chartDrawing">
    <cdr:from>
      <cdr:x>0.616</cdr:x>
      <cdr:y>0.30875</cdr:y>
    </cdr:from>
    <cdr:to>
      <cdr:x>0.62375</cdr:x>
      <cdr:y>0.39825</cdr:y>
    </cdr:to>
    <cdr:sp macro="" textlink="">
      <cdr:nvSpPr>
        <cdr:cNvPr id="1027" name="Text Box 3"/>
        <cdr:cNvSpPr txBox="1">
          <a:spLocks xmlns:a="http://schemas.openxmlformats.org/drawingml/2006/main" noChangeArrowheads="1"/>
        </cdr:cNvSpPr>
      </cdr:nvSpPr>
      <cdr:spPr bwMode="auto">
        <a:xfrm xmlns:a="http://schemas.openxmlformats.org/drawingml/2006/main">
          <a:off x="3802075" y="526411"/>
          <a:ext cx="47835" cy="15259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dr:relSizeAnchor xmlns:cdr="http://schemas.openxmlformats.org/drawingml/2006/chartDrawing">
    <cdr:from>
      <cdr:x>0.201</cdr:x>
      <cdr:y>0.55925</cdr:y>
    </cdr:from>
    <cdr:to>
      <cdr:x>0.20875</cdr:x>
      <cdr:y>0.65975</cdr:y>
    </cdr:to>
    <cdr:sp macro="" textlink="">
      <cdr:nvSpPr>
        <cdr:cNvPr id="1028" name="Text Box 4"/>
        <cdr:cNvSpPr txBox="1">
          <a:spLocks xmlns:a="http://schemas.openxmlformats.org/drawingml/2006/main" noChangeArrowheads="1"/>
        </cdr:cNvSpPr>
      </cdr:nvSpPr>
      <cdr:spPr bwMode="auto">
        <a:xfrm xmlns:a="http://schemas.openxmlformats.org/drawingml/2006/main">
          <a:off x="1240612" y="953507"/>
          <a:ext cx="47835" cy="171350"/>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dr:relSizeAnchor xmlns:cdr="http://schemas.openxmlformats.org/drawingml/2006/chartDrawing">
    <cdr:from>
      <cdr:x>0.02375</cdr:x>
      <cdr:y>0.44825</cdr:y>
    </cdr:from>
    <cdr:to>
      <cdr:x>0.0315</cdr:x>
      <cdr:y>0.53775</cdr:y>
    </cdr:to>
    <cdr:sp macro="" textlink="">
      <cdr:nvSpPr>
        <cdr:cNvPr id="1030" name="Text Box 6"/>
        <cdr:cNvSpPr txBox="1">
          <a:spLocks xmlns:a="http://schemas.openxmlformats.org/drawingml/2006/main" noChangeArrowheads="1"/>
        </cdr:cNvSpPr>
      </cdr:nvSpPr>
      <cdr:spPr bwMode="auto">
        <a:xfrm xmlns:a="http://schemas.openxmlformats.org/drawingml/2006/main">
          <a:off x="146590" y="764255"/>
          <a:ext cx="47834" cy="15259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dr:relSizeAnchor xmlns:cdr="http://schemas.openxmlformats.org/drawingml/2006/chartDrawing">
    <cdr:from>
      <cdr:x>0.267</cdr:x>
      <cdr:y>0.48275</cdr:y>
    </cdr:from>
    <cdr:to>
      <cdr:x>0.27475</cdr:x>
      <cdr:y>0.57225</cdr:y>
    </cdr:to>
    <cdr:sp macro="" textlink="">
      <cdr:nvSpPr>
        <cdr:cNvPr id="1031" name="Text Box 7"/>
        <cdr:cNvSpPr txBox="1">
          <a:spLocks xmlns:a="http://schemas.openxmlformats.org/drawingml/2006/main" noChangeArrowheads="1"/>
        </cdr:cNvSpPr>
      </cdr:nvSpPr>
      <cdr:spPr bwMode="auto">
        <a:xfrm xmlns:a="http://schemas.openxmlformats.org/drawingml/2006/main">
          <a:off x="1647977" y="823077"/>
          <a:ext cx="47835" cy="15259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dr:relSizeAnchor xmlns:cdr="http://schemas.openxmlformats.org/drawingml/2006/chartDrawing">
    <cdr:from>
      <cdr:x>0.35325</cdr:x>
      <cdr:y>0.145</cdr:y>
    </cdr:from>
    <cdr:to>
      <cdr:x>0.415</cdr:x>
      <cdr:y>0.2735</cdr:y>
    </cdr:to>
    <cdr:sp macro="" textlink="">
      <cdr:nvSpPr>
        <cdr:cNvPr id="1033" name="Text Box 9"/>
        <cdr:cNvSpPr txBox="1">
          <a:spLocks xmlns:a="http://schemas.openxmlformats.org/drawingml/2006/main" noChangeArrowheads="1"/>
        </cdr:cNvSpPr>
      </cdr:nvSpPr>
      <cdr:spPr bwMode="auto">
        <a:xfrm xmlns:a="http://schemas.openxmlformats.org/drawingml/2006/main">
          <a:off x="2180330" y="247221"/>
          <a:ext cx="381133" cy="219090"/>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dr:relSizeAnchor xmlns:cdr="http://schemas.openxmlformats.org/drawingml/2006/chartDrawing">
    <cdr:from>
      <cdr:x>0.8315</cdr:x>
      <cdr:y>0.358</cdr:y>
    </cdr:from>
    <cdr:to>
      <cdr:x>0.83925</cdr:x>
      <cdr:y>0.4475</cdr:y>
    </cdr:to>
    <cdr:sp macro="" textlink="">
      <cdr:nvSpPr>
        <cdr:cNvPr id="1034" name="Text Box 10"/>
        <cdr:cNvSpPr txBox="1">
          <a:spLocks xmlns:a="http://schemas.openxmlformats.org/drawingml/2006/main" noChangeArrowheads="1"/>
        </cdr:cNvSpPr>
      </cdr:nvSpPr>
      <cdr:spPr bwMode="auto">
        <a:xfrm xmlns:a="http://schemas.openxmlformats.org/drawingml/2006/main">
          <a:off x="5132184" y="610381"/>
          <a:ext cx="47835" cy="15259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dr:relSizeAnchor xmlns:cdr="http://schemas.openxmlformats.org/drawingml/2006/chartDrawing">
    <cdr:from>
      <cdr:x>0.5095</cdr:x>
      <cdr:y>0.566</cdr:y>
    </cdr:from>
    <cdr:to>
      <cdr:x>0.52025</cdr:x>
      <cdr:y>0.6555</cdr:y>
    </cdr:to>
    <cdr:sp macro="" textlink="">
      <cdr:nvSpPr>
        <cdr:cNvPr id="1035" name="Text Box 11"/>
        <cdr:cNvSpPr txBox="1">
          <a:spLocks xmlns:a="http://schemas.openxmlformats.org/drawingml/2006/main" noChangeArrowheads="1"/>
        </cdr:cNvSpPr>
      </cdr:nvSpPr>
      <cdr:spPr bwMode="auto">
        <a:xfrm xmlns:a="http://schemas.openxmlformats.org/drawingml/2006/main">
          <a:off x="3144736" y="965016"/>
          <a:ext cx="66351" cy="15259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dc:creator>
  <cp:keywords/>
  <dc:description/>
  <cp:lastModifiedBy>Начальник</cp:lastModifiedBy>
  <cp:revision>3</cp:revision>
  <dcterms:created xsi:type="dcterms:W3CDTF">2017-04-07T06:37:00Z</dcterms:created>
  <dcterms:modified xsi:type="dcterms:W3CDTF">2017-04-07T06:38:00Z</dcterms:modified>
</cp:coreProperties>
</file>